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76" w:lineRule="auto"/>
        <w:rPr>
          <w:lang w:eastAsia="ru-RU"/>
          <w:rFonts w:ascii="Times New Roman" w:eastAsia="Times New Roman" w:hAnsi="Times New Roman"/>
          <w:b/>
          <w:bCs/>
          <w:sz w:val="26"/>
          <w:szCs w:val="26"/>
        </w:rPr>
      </w:pPr>
      <w:r>
        <w:rPr>
          <w:lang w:eastAsia="ru-RU"/>
          <w:rFonts w:ascii="Times New Roman" w:eastAsia="Times New Roman" w:hAnsi="Times New Roman"/>
          <w:b/>
          <w:bCs/>
          <w:sz w:val="26"/>
          <w:szCs w:val="26"/>
        </w:rPr>
        <w:t>Порядок оценки заявок,</w:t>
      </w:r>
    </w:p>
    <w:p>
      <w:pPr>
        <w:jc w:val="center"/>
        <w:spacing w:line="276" w:lineRule="auto"/>
        <w:rPr>
          <w:lang w:eastAsia="ru-RU"/>
          <w:rFonts w:ascii="Times New Roman" w:eastAsia="Times New Roman" w:hAnsi="Times New Roman"/>
          <w:b/>
          <w:bCs/>
          <w:sz w:val="26"/>
          <w:szCs w:val="26"/>
        </w:rPr>
      </w:pPr>
      <w:r>
        <w:rPr>
          <w:lang w:eastAsia="ru-RU"/>
          <w:rFonts w:ascii="Times New Roman" w:eastAsia="Times New Roman" w:hAnsi="Times New Roman"/>
          <w:b/>
          <w:bCs/>
          <w:sz w:val="26"/>
          <w:szCs w:val="26"/>
        </w:rPr>
        <w:t xml:space="preserve"> окончательных предложений </w:t>
      </w:r>
    </w:p>
    <w:p>
      <w:pPr>
        <w:jc w:val="center"/>
        <w:spacing w:after="240" w:line="276" w:lineRule="auto"/>
        <w:rPr>
          <w:lang w:eastAsia="ru-RU"/>
          <w:rFonts w:ascii="Times New Roman" w:eastAsia="Times New Roman" w:hAnsi="Times New Roman"/>
          <w:b/>
          <w:bCs/>
          <w:sz w:val="26"/>
          <w:szCs w:val="26"/>
        </w:rPr>
      </w:pPr>
      <w:r>
        <w:rPr>
          <w:lang w:eastAsia="ru-RU"/>
          <w:rFonts w:ascii="Times New Roman" w:eastAsia="Times New Roman" w:hAnsi="Times New Roman"/>
          <w:b/>
          <w:bCs/>
          <w:sz w:val="26"/>
          <w:szCs w:val="26"/>
        </w:rPr>
        <w:t>участников закупки и критерий этой оценки</w:t>
      </w:r>
    </w:p>
    <w:p>
      <w:pPr>
        <w:ind w:firstLine="708"/>
        <w:spacing w:after="240" w:line="276" w:lineRule="auto"/>
        <w:rPr>
          <w:lang w:eastAsia="ru-RU"/>
          <w:rFonts w:ascii="Times New Roman" w:eastAsia="Times New Roman" w:hAnsi="Times New Roman"/>
          <w:sz w:val="24"/>
          <w:szCs w:val="24"/>
        </w:rPr>
      </w:pPr>
      <w:r>
        <w:rPr>
          <w:lang w:eastAsia="ru-RU"/>
          <w:rFonts w:ascii="Times New Roman" w:eastAsia="Times New Roman" w:hAnsi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>
      <w:pPr>
        <w:jc w:val="center"/>
        <w:spacing w:after="160" w:line="259" w:lineRule="auto"/>
        <w:rPr>
          <w:rFonts w:ascii="Times New Roman" w:hAnsi="Times New Roman"/>
          <w:sz w:val="24"/>
          <w:szCs w:val="24"/>
          <w:u w:val="single" w:color="auto"/>
        </w:rPr>
      </w:pPr>
      <w:r>
        <w:rPr>
          <w:rFonts w:ascii="Times New Roman" w:hAnsi="Times New Roman"/>
          <w:sz w:val="24"/>
          <w:szCs w:val="24"/>
          <w:u w:val="single" w:color="auto"/>
        </w:rPr>
        <w:t>Критерии оценки заявок: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  <w:tblLayout w:type="fixed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</w:rPr>
            </w:pPr>
            <w:r>
              <w:rPr>
                <w:lang w:eastAsia="ru-RU"/>
                <w:rFonts w:ascii="Times New Roman" w:eastAsia="Times New Roman" w:hAnsi="Times New Roman"/>
              </w:rPr>
              <w:t>№</w:t>
            </w:r>
          </w:p>
          <w:p>
            <w:pPr>
              <w:jc w:val="center"/>
              <w:rPr>
                <w:lang w:eastAsia="ru-RU"/>
                <w:rFonts w:ascii="Times New Roman" w:eastAsia="Times New Roman" w:hAnsi="Times New Roman"/>
              </w:rPr>
            </w:pPr>
            <w:r>
              <w:rPr>
                <w:lang w:eastAsia="ru-RU"/>
                <w:rFonts w:ascii="Times New Roman" w:eastAsia="Times New Roman" w:hAnsi="Times New Roman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</w:rPr>
            </w:pPr>
            <w:r>
              <w:rPr>
                <w:lang w:eastAsia="ru-RU"/>
                <w:rFonts w:ascii="Times New Roman" w:eastAsia="Times New Roman" w:hAnsi="Times New Roman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</w:rPr>
            </w:pPr>
            <w:r>
              <w:rPr>
                <w:lang w:eastAsia="ru-RU"/>
                <w:rFonts w:ascii="Times New Roman" w:eastAsia="Times New Roman" w:hAnsi="Times New Roman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</w:rPr>
            </w:pPr>
            <w:r>
              <w:rPr>
                <w:lang w:eastAsia="ru-RU"/>
                <w:rFonts w:ascii="Times New Roman" w:eastAsia="Times New Roman" w:hAnsi="Times New Roman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lang w:eastAsia="ru-RU"/>
                <w:rFonts w:ascii="Times New Roman" w:eastAsia="Times New Roman" w:hAnsi="Times New Roman"/>
                <w:sz w:val="21"/>
                <w:szCs w:val="21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</w:rPr>
            </w:pPr>
            <w:r>
              <w:rPr>
                <w:lang w:eastAsia="ru-RU"/>
                <w:rFonts w:ascii="Times New Roman" w:eastAsia="Times New Roman" w:hAnsi="Times New Roman"/>
              </w:rPr>
              <w:t>Параметры 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</w:rPr>
            </w:pPr>
            <w:r>
              <w:rPr>
                <w:lang w:eastAsia="ru-RU"/>
                <w:rFonts w:ascii="Times New Roman" w:eastAsia="Times New Roman" w:hAnsi="Times New Roman"/>
              </w:rPr>
              <w:t>Порядок оценки</w:t>
            </w:r>
          </w:p>
        </w:tc>
      </w:tr>
      <w:tr>
        <w:trPr>
          <w:jc w:val="center"/>
          <w:trHeight w:val="283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  <w:b/>
              </w:rPr>
            </w:pPr>
            <w:r>
              <w:rPr>
                <w:lang w:eastAsia="ru-RU"/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  <w:b/>
              </w:rPr>
            </w:pPr>
            <w:r>
              <w:rPr>
                <w:lang w:eastAsia="ru-RU"/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  <w:b/>
              </w:rPr>
            </w:pPr>
            <w:r>
              <w:rPr>
                <w:lang w:eastAsia="ru-RU"/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  <w:b/>
              </w:rPr>
            </w:pPr>
            <w:r>
              <w:rPr>
                <w:lang w:eastAsia="ru-RU"/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  <w:b/>
              </w:rPr>
            </w:pPr>
            <w:r>
              <w:rPr>
                <w:lang w:eastAsia="ru-RU"/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  <w:b/>
              </w:rPr>
            </w:pPr>
            <w:r>
              <w:rPr>
                <w:lang w:eastAsia="ru-RU"/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  <w:b/>
              </w:rPr>
            </w:pPr>
            <w:r>
              <w:rPr>
                <w:lang w:eastAsia="ru-RU"/>
                <w:rFonts w:ascii="Times New Roman" w:eastAsia="Times New Roman" w:hAnsi="Times New Roman"/>
                <w:b/>
              </w:rPr>
              <w:t>7</w:t>
            </w:r>
          </w:p>
        </w:tc>
      </w:tr>
      <w:tr>
        <w:trPr>
          <w:jc w:val="center"/>
          <w:trHeight w:val="388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</w:rPr>
            </w:pPr>
            <w:r>
              <w:rPr>
                <w:lang w:eastAsia="ru-RU"/>
                <w:rFonts w:ascii="Times New Roman" w:eastAsia="Times New Roman" w:hAnsi="Times New Roman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</w:rPr>
            </w:pPr>
            <w:r>
              <w:rPr>
                <w:lang w:eastAsia="ru-RU"/>
                <w:rFonts w:ascii="Times New Roman" w:eastAsia="Times New Roman" w:hAnsi="Times New Roman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contextualSpacing/>
              <w:jc w:val="center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contextualSpacing/>
              <w:jc w:val="center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bottom"/>
          </w:tcPr>
          <w:p>
            <w:pPr>
              <w:contextualSpacing/>
              <w:jc w:val="center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contextualSpacing/>
              <w:jc w:val="left"/>
              <w:rPr>
                <w:lang w:eastAsia="ru-RU"/>
                <w:rFonts w:ascii="Times New Roman" w:eastAsia="Times New Roman" w:hAnsi="Times New Roman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>
            <w:pPr>
              <w:contextualSpacing/>
              <w:jc w:val="left"/>
              <w:rPr>
                <w:lang w:eastAsia="ru-RU"/>
                <w:rFonts w:ascii="Times New Roman" w:eastAsia="Times New Roman" w:hAnsi="Times New Roman"/>
              </w:rPr>
            </w:pPr>
          </w:p>
        </w:tc>
      </w:tr>
      <w:tr>
        <w:trPr>
          <w:jc w:val="center"/>
          <w:trHeight w:val="1370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</w:rPr>
            </w:pPr>
            <w:r>
              <w:rPr>
                <w:lang w:eastAsia="ru-RU"/>
                <w:rFonts w:ascii="Times New Roman" w:eastAsia="Times New Roman" w:hAnsi="Times New Roman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lang w:eastAsia="ru-RU"/>
                <w:rFonts w:ascii="Times New Roman" w:eastAsia="Times New Roman" w:hAnsi="Times New Roman"/>
              </w:rPr>
            </w:pPr>
            <w:r>
              <w:rPr>
                <w:lang w:eastAsia="ru-RU"/>
                <w:rFonts w:ascii="Times New Roman" w:eastAsia="Times New Roman" w:hAnsi="Times New Roman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lang w:eastAsia="ru-RU"/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lang w:eastAsia="ru-RU"/>
                <w:rFonts w:ascii="Times New Roman" w:eastAsia="Times New Roman" w:hAnsi="Times New Roman"/>
                <w:sz w:val="20"/>
                <w:szCs w:val="20"/>
              </w:rPr>
              <w:t>Цена, предлагаемая участником закупки,</w:t>
            </w:r>
          </w:p>
          <w:p>
            <w:pPr>
              <w:contextualSpacing/>
              <w:jc w:val="center"/>
              <w:rPr>
                <w:lang w:eastAsia="ru-RU"/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lang w:eastAsia="ru-RU"/>
                <w:rFonts w:ascii="Times New Roman" w:eastAsia="Times New Roman" w:hAnsi="Times New Roman"/>
                <w:sz w:val="20"/>
                <w:szCs w:val="20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lang w:eastAsia="ru-RU"/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lang w:eastAsia="ru-RU"/>
                <w:rFonts w:ascii="Times New Roman" w:eastAsia="Times New Roman" w:hAnsi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>
      <w:pPr>
        <w:jc w:val="left"/>
        <w:spacing w:after="160" w:line="259" w:lineRule="auto"/>
        <w:rPr>
          <w:rFonts w:ascii="Times New Roman" w:hAnsi="Times New Roman"/>
          <w:sz w:val="24"/>
          <w:szCs w:val="24"/>
        </w:rPr>
      </w:pPr>
    </w:p>
    <w:sectPr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00007A87" w:usb1="80000000" w:usb2="00000008" w:usb3="00000001" w:csb0="400001FF" w:csb1="FFFF0000"/>
  </w:font>
  <w:font w:name="Calibri">
    <w:panose1 w:val="020F0502020204030204"/>
    <w:family w:val="swiss"/>
    <w:charset w:val="cc"/>
    <w:notTrueType w:val="false"/>
    <w:sig w:usb0="E00002FF" w:usb1="4000ACFF" w:usb2="00000001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08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Calibri" w:hAnsi="Calibri" w:cs="Times New Roman"/>
      </w:rPr>
    </w:rPrDefault>
    <w:pPrDefault>
      <w:pPr/>
    </w:pPrDefault>
  </w:docDefaults>
  <w:style w:type="paragraph" w:default="1" w:styleId="normal">
    <w:name w:val="Normal"/>
    <w:qFormat/>
    <w:pPr>
      <w:jc w:val="both"/>
    </w:pPr>
    <w:rPr>
      <w:lang w:eastAsia="en-US"/>
      <w:sz w:val="22"/>
      <w:szCs w:val="22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RePack by SPecialiST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SM-N950U</cp:lastModifiedBy>
  <cp:revision>1</cp:revision>
  <dcterms:created xsi:type="dcterms:W3CDTF">2022-05-04T11:08:00Z</dcterms:created>
  <dcterms:modified xsi:type="dcterms:W3CDTF">2022-11-09T19:23:56Z</dcterms:modified>
  <cp:version>04.2000</cp:version>
</cp:coreProperties>
</file>